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7FF5" w14:textId="242B7E2A" w:rsidR="002B7443" w:rsidRDefault="00B721F6" w:rsidP="006D411B">
      <w:pPr>
        <w:pStyle w:val="Title"/>
        <w:pBdr>
          <w:top w:val="single" w:sz="4" w:space="2" w:color="auto"/>
        </w:pBdr>
      </w:pPr>
      <w:r>
        <w:t>DATA MANAGEMENT AND SHARING PLAN</w:t>
      </w:r>
    </w:p>
    <w:p w14:paraId="54CB0ECE" w14:textId="77777777" w:rsidR="008201B3" w:rsidRPr="001C1220" w:rsidRDefault="008201B3" w:rsidP="008201B3">
      <w:pPr>
        <w:jc w:val="center"/>
        <w:rPr>
          <w:b/>
          <w:bCs/>
        </w:rPr>
      </w:pPr>
      <w:r w:rsidRPr="008201B3">
        <w:rPr>
          <w:b/>
          <w:bCs/>
          <w:highlight w:val="yellow"/>
        </w:rPr>
        <w:t>LAPS Data Management &amp; Sharing Plan – Template Example</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rsidRPr="008201B3">
        <w:rPr>
          <w:highlight w:val="yellow"/>
        </w:rPr>
        <w:t>Th</w:t>
      </w:r>
      <w:r w:rsidR="008A2126" w:rsidRPr="008201B3">
        <w:rPr>
          <w:highlight w:val="yellow"/>
        </w:rPr>
        <w:t>e</w:t>
      </w:r>
      <w:r w:rsidR="00B51573" w:rsidRPr="008201B3">
        <w:rPr>
          <w:highlight w:val="yellow"/>
        </w:rPr>
        <w:t xml:space="preserve"> </w:t>
      </w:r>
      <w:r w:rsidR="00456BD1" w:rsidRPr="008201B3">
        <w:rPr>
          <w:highlight w:val="yellow"/>
        </w:rPr>
        <w:t>P</w:t>
      </w:r>
      <w:r w:rsidR="00B51573" w:rsidRPr="008201B3">
        <w:rPr>
          <w:highlight w:val="yellow"/>
        </w:rPr>
        <w:t>lan is recommended not to exceed two pages</w:t>
      </w:r>
      <w:bookmarkEnd w:id="0"/>
      <w:r w:rsidR="00B51573" w:rsidRPr="008201B3">
        <w:rPr>
          <w:highlight w:val="yellow"/>
        </w:rPr>
        <w:t>.  Text in italics should be deleted.</w:t>
      </w:r>
      <w:r w:rsidR="006D411B" w:rsidRPr="008201B3">
        <w:rPr>
          <w:highlight w:val="yellow"/>
        </w:rPr>
        <w:t xml:space="preserve"> There is no “form page” for the Data Management and Sharing Plan. The DMS Plan may be provided in the </w:t>
      </w:r>
      <w:r w:rsidR="006D411B" w:rsidRPr="008201B3">
        <w:rPr>
          <w:i/>
          <w:iCs w:val="0"/>
          <w:highlight w:val="yellow"/>
        </w:rPr>
        <w:t>format</w:t>
      </w:r>
      <w:r w:rsidR="006D411B" w:rsidRPr="008201B3">
        <w:rPr>
          <w:highlight w:val="yellow"/>
        </w:rPr>
        <w:t xml:space="preserve"> shown below.</w:t>
      </w:r>
      <w:r w:rsidR="006D411B">
        <w:t xml:space="preserve"> </w:t>
      </w:r>
    </w:p>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6237D139" w14:textId="77777777" w:rsidR="00DC2100" w:rsidRPr="001C5C33" w:rsidRDefault="00DC2100" w:rsidP="001C1220">
      <w:pPr>
        <w:pStyle w:val="DataField11pt-Single"/>
        <w:ind w:left="720"/>
        <w:rPr>
          <w:sz w:val="10"/>
          <w:szCs w:val="10"/>
        </w:rPr>
      </w:pPr>
    </w:p>
    <w:p w14:paraId="027F8EA1" w14:textId="2858656D" w:rsidR="00A8623D" w:rsidRDefault="001C1220" w:rsidP="001C1220">
      <w:pPr>
        <w:pStyle w:val="DataField11pt-Single"/>
        <w:ind w:left="720"/>
      </w:pPr>
      <w:r>
        <w:t xml:space="preserve">The </w:t>
      </w:r>
      <w:r w:rsidR="00A8623D" w:rsidRPr="00A8623D">
        <w:rPr>
          <w:b/>
          <w:bCs/>
        </w:rPr>
        <w:t>[</w:t>
      </w:r>
      <w:r w:rsidRPr="00A8623D">
        <w:rPr>
          <w:b/>
          <w:bCs/>
          <w:i/>
          <w:iCs/>
        </w:rPr>
        <w:t>Name of Lead Academic Institution/Organization for the Application</w:t>
      </w:r>
      <w:r w:rsidR="00A8623D" w:rsidRPr="00A8623D">
        <w:rPr>
          <w:b/>
          <w:bCs/>
        </w:rPr>
        <w:t>]</w:t>
      </w:r>
      <w:r>
        <w:t xml:space="preserve"> NCTN Network Lead Academic Participating Site (LAPS) is anticipated to enroll hundreds of patients over the 6-year project period in multi-site cancer treatment and advanced primary imaging clinical trials/studies led by one of the U.S. NCTN Network Groups or the NCTN Canadian Collaborating Clinical Trials Network. </w:t>
      </w:r>
    </w:p>
    <w:p w14:paraId="018AE9CC" w14:textId="77777777" w:rsidR="00A8623D" w:rsidRDefault="00A8623D" w:rsidP="001C1220">
      <w:pPr>
        <w:pStyle w:val="DataField11pt-Single"/>
        <w:ind w:left="720"/>
      </w:pPr>
    </w:p>
    <w:p w14:paraId="03517599" w14:textId="0E3F9A85" w:rsidR="00A8623D" w:rsidRDefault="001C1220" w:rsidP="001C1220">
      <w:pPr>
        <w:pStyle w:val="DataField11pt-Single"/>
        <w:ind w:left="720"/>
      </w:pPr>
      <w:r>
        <w:t xml:space="preserve">Clinical data for patients enrolled on NCTN multi-site studies will be obtained from the LAPS electronic (or paper-based) </w:t>
      </w:r>
      <w:r w:rsidR="00DC1EB9">
        <w:t xml:space="preserve">patient </w:t>
      </w:r>
      <w:r>
        <w:t>health record</w:t>
      </w:r>
      <w:r w:rsidR="00A8623D">
        <w:t>s</w:t>
      </w:r>
      <w:r w:rsidR="00DC1EB9">
        <w:t>,</w:t>
      </w:r>
      <w:r w:rsidR="00A8623D">
        <w:t xml:space="preserve"> or directly from patients</w:t>
      </w:r>
      <w:r w:rsidR="00DC1EB9">
        <w:t>,</w:t>
      </w:r>
      <w:r>
        <w:t xml:space="preserve"> and </w:t>
      </w:r>
      <w:r w:rsidR="00F246E7">
        <w:t xml:space="preserve">will be </w:t>
      </w:r>
      <w:r>
        <w:t>entered into the electronic data-capture (EDC) system</w:t>
      </w:r>
      <w:r w:rsidR="00A8623D">
        <w:t xml:space="preserve"> </w:t>
      </w:r>
      <w:r>
        <w:t>of the NCTN Group leading the trial/study by site or study-specific research staf</w:t>
      </w:r>
      <w:r w:rsidR="00A8623D">
        <w:t xml:space="preserve">f using </w:t>
      </w:r>
      <w:r w:rsidR="00FC3575">
        <w:t>study</w:t>
      </w:r>
      <w:r w:rsidR="00916FAB">
        <w:t>-</w:t>
      </w:r>
      <w:r w:rsidR="00A8623D">
        <w:t>specific case-report forms (CRFs). The c</w:t>
      </w:r>
      <w:r>
        <w:t xml:space="preserve">linical data </w:t>
      </w:r>
      <w:r w:rsidR="00A8623D">
        <w:t xml:space="preserve">will </w:t>
      </w:r>
      <w:r>
        <w:t>include demographic data, medical history, medications, physical exams, lab tests performed by sites and/or central laboratories, results of biological analyses or immunoassays from biospecimens, genomic data,</w:t>
      </w:r>
      <w:r>
        <w:rPr>
          <w:spacing w:val="-4"/>
        </w:rPr>
        <w:t xml:space="preserve"> </w:t>
      </w:r>
      <w:r>
        <w:t>treatment</w:t>
      </w:r>
      <w:r>
        <w:rPr>
          <w:spacing w:val="-4"/>
        </w:rPr>
        <w:t xml:space="preserve"> </w:t>
      </w:r>
      <w:r>
        <w:t>history,</w:t>
      </w:r>
      <w:r>
        <w:rPr>
          <w:spacing w:val="-4"/>
        </w:rPr>
        <w:t xml:space="preserve"> </w:t>
      </w:r>
      <w:r>
        <w:t>protocol</w:t>
      </w:r>
      <w:r>
        <w:rPr>
          <w:spacing w:val="-4"/>
        </w:rPr>
        <w:t xml:space="preserve"> </w:t>
      </w:r>
      <w:r>
        <w:t>adherence,</w:t>
      </w:r>
      <w:r>
        <w:rPr>
          <w:spacing w:val="-4"/>
        </w:rPr>
        <w:t xml:space="preserve"> </w:t>
      </w:r>
      <w:r>
        <w:t>adverse</w:t>
      </w:r>
      <w:r>
        <w:rPr>
          <w:spacing w:val="-4"/>
        </w:rPr>
        <w:t xml:space="preserve"> </w:t>
      </w:r>
      <w:r>
        <w:t>events, patient reported outcomes (PROs), quality of life data,</w:t>
      </w:r>
      <w:r>
        <w:rPr>
          <w:spacing w:val="-4"/>
        </w:rPr>
        <w:t xml:space="preserve"> </w:t>
      </w:r>
      <w:r>
        <w:t>clinical</w:t>
      </w:r>
      <w:r>
        <w:rPr>
          <w:spacing w:val="-4"/>
        </w:rPr>
        <w:t xml:space="preserve"> </w:t>
      </w:r>
      <w:r>
        <w:t>response</w:t>
      </w:r>
      <w:r>
        <w:rPr>
          <w:spacing w:val="-4"/>
        </w:rPr>
        <w:t xml:space="preserve"> </w:t>
      </w:r>
      <w:r>
        <w:t>to</w:t>
      </w:r>
      <w:r>
        <w:rPr>
          <w:spacing w:val="-4"/>
        </w:rPr>
        <w:t xml:space="preserve"> </w:t>
      </w:r>
      <w:r>
        <w:t>treatment,</w:t>
      </w:r>
      <w:r>
        <w:rPr>
          <w:spacing w:val="-4"/>
        </w:rPr>
        <w:t xml:space="preserve"> </w:t>
      </w:r>
      <w:r>
        <w:t>longer-term follow-up, and other data pertinent to the trial/study.</w:t>
      </w:r>
      <w:r w:rsidR="00A8623D">
        <w:t xml:space="preserve">  </w:t>
      </w:r>
    </w:p>
    <w:p w14:paraId="49875345" w14:textId="77777777" w:rsidR="00A8623D" w:rsidRDefault="00A8623D" w:rsidP="001C1220">
      <w:pPr>
        <w:pStyle w:val="DataField11pt-Single"/>
        <w:ind w:left="720"/>
      </w:pPr>
    </w:p>
    <w:p w14:paraId="76F2F1BD" w14:textId="4FB4D23B" w:rsidR="001C1220" w:rsidRDefault="00A8623D" w:rsidP="00DC2100">
      <w:pPr>
        <w:pStyle w:val="DataField11pt-Single"/>
        <w:ind w:left="720"/>
      </w:pPr>
      <w:r>
        <w:t>Each LAPS user</w:t>
      </w:r>
      <w:r w:rsidR="001C1220">
        <w:t xml:space="preserve"> will be given role specific access to the </w:t>
      </w:r>
      <w:r>
        <w:t xml:space="preserve">NCTN Group’s </w:t>
      </w:r>
      <w:r w:rsidR="001C1220">
        <w:t>EDC</w:t>
      </w:r>
      <w:r>
        <w:t xml:space="preserve"> (common data management system such as Medidata Rave)</w:t>
      </w:r>
      <w:r w:rsidR="008201B3">
        <w:t xml:space="preserve"> where the data will be stored</w:t>
      </w:r>
      <w:r w:rsidR="001C1220">
        <w:t xml:space="preserve">, and access will be controlled by NCI Clinical Trials Support Unit </w:t>
      </w:r>
      <w:r w:rsidR="001C1220">
        <w:rPr>
          <w:spacing w:val="-2"/>
        </w:rPr>
        <w:t>(CTSU)</w:t>
      </w:r>
      <w:r>
        <w:rPr>
          <w:spacing w:val="-2"/>
        </w:rPr>
        <w:t>. The demographic clinical data submitted on patients will also be stored</w:t>
      </w:r>
      <w:r w:rsidR="008201B3">
        <w:rPr>
          <w:spacing w:val="-2"/>
        </w:rPr>
        <w:t xml:space="preserve"> by the NCI CTSU long-term on a</w:t>
      </w:r>
      <w:r w:rsidR="00DC2100">
        <w:rPr>
          <w:spacing w:val="-2"/>
        </w:rPr>
        <w:t>n</w:t>
      </w:r>
      <w:r w:rsidR="008201B3">
        <w:rPr>
          <w:spacing w:val="-2"/>
        </w:rPr>
        <w:t xml:space="preserve"> NCI database for Inclusion Reporting.</w:t>
      </w:r>
      <w:r w:rsidR="00DC2100">
        <w:rPr>
          <w:spacing w:val="-2"/>
        </w:rPr>
        <w:t xml:space="preserve"> </w:t>
      </w:r>
    </w:p>
    <w:p w14:paraId="6130E269" w14:textId="77777777" w:rsidR="001C1220" w:rsidRDefault="001C1220" w:rsidP="00DC2100">
      <w:pPr>
        <w:pStyle w:val="BodyText"/>
        <w:spacing w:before="1"/>
        <w:ind w:left="720" w:right="120"/>
      </w:pPr>
      <w:r>
        <w:t>Data</w:t>
      </w:r>
      <w:r>
        <w:rPr>
          <w:spacing w:val="-4"/>
        </w:rPr>
        <w:t xml:space="preserve"> </w:t>
      </w:r>
      <w:r>
        <w:t>elements</w:t>
      </w:r>
      <w:r>
        <w:rPr>
          <w:spacing w:val="-4"/>
        </w:rPr>
        <w:t xml:space="preserve"> </w:t>
      </w:r>
      <w:r>
        <w:t>will</w:t>
      </w:r>
      <w:r>
        <w:rPr>
          <w:spacing w:val="-3"/>
        </w:rPr>
        <w:t xml:space="preserve"> </w:t>
      </w:r>
      <w:r>
        <w:t>be</w:t>
      </w:r>
      <w:r>
        <w:rPr>
          <w:spacing w:val="-3"/>
        </w:rPr>
        <w:t xml:space="preserve"> </w:t>
      </w:r>
      <w:r>
        <w:t>collected</w:t>
      </w:r>
      <w:r>
        <w:rPr>
          <w:spacing w:val="-3"/>
        </w:rPr>
        <w:t xml:space="preserve"> </w:t>
      </w:r>
      <w:r>
        <w:t>at</w:t>
      </w:r>
      <w:r>
        <w:rPr>
          <w:spacing w:val="-2"/>
        </w:rPr>
        <w:t xml:space="preserve"> </w:t>
      </w:r>
      <w:r>
        <w:t>protocol-specified</w:t>
      </w:r>
      <w:r>
        <w:rPr>
          <w:spacing w:val="-3"/>
        </w:rPr>
        <w:t xml:space="preserve"> </w:t>
      </w:r>
      <w:r>
        <w:t>frequencies,</w:t>
      </w:r>
      <w:r>
        <w:rPr>
          <w:spacing w:val="-3"/>
        </w:rPr>
        <w:t xml:space="preserve"> </w:t>
      </w:r>
      <w:r>
        <w:t>typically</w:t>
      </w:r>
      <w:r>
        <w:rPr>
          <w:spacing w:val="-4"/>
        </w:rPr>
        <w:t xml:space="preserve"> </w:t>
      </w:r>
      <w:r>
        <w:t>for</w:t>
      </w:r>
      <w:r>
        <w:rPr>
          <w:spacing w:val="-2"/>
        </w:rPr>
        <w:t xml:space="preserve"> </w:t>
      </w:r>
      <w:r>
        <w:t>up</w:t>
      </w:r>
      <w:r>
        <w:rPr>
          <w:spacing w:val="-4"/>
        </w:rPr>
        <w:t xml:space="preserve"> </w:t>
      </w:r>
      <w:r>
        <w:t>to</w:t>
      </w:r>
      <w:r>
        <w:rPr>
          <w:spacing w:val="-3"/>
        </w:rPr>
        <w:t xml:space="preserve"> </w:t>
      </w:r>
      <w:r>
        <w:t>five</w:t>
      </w:r>
      <w:r>
        <w:rPr>
          <w:spacing w:val="-3"/>
        </w:rPr>
        <w:t xml:space="preserve"> </w:t>
      </w:r>
      <w:r>
        <w:t>years</w:t>
      </w:r>
      <w:r>
        <w:rPr>
          <w:spacing w:val="-4"/>
        </w:rPr>
        <w:t xml:space="preserve"> </w:t>
      </w:r>
      <w:r>
        <w:t>in accordance with the informed consent and protocol specifications.</w:t>
      </w:r>
    </w:p>
    <w:p w14:paraId="49A69FE7" w14:textId="53E4C224" w:rsidR="00B721F6" w:rsidRPr="00B54990" w:rsidRDefault="00B721F6" w:rsidP="419C11A7">
      <w:pPr>
        <w:pStyle w:val="DataField11pt-Single"/>
        <w:ind w:left="720"/>
        <w:rPr>
          <w:i/>
          <w:iCs/>
        </w:rPr>
      </w:pP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68353DAD" w14:textId="09F8B2A0" w:rsidR="00D95D2D" w:rsidRPr="001C5C33" w:rsidRDefault="00D95D2D" w:rsidP="00D95D2D">
      <w:pPr>
        <w:pStyle w:val="DataField11pt-Single"/>
        <w:ind w:left="720"/>
        <w:rPr>
          <w:sz w:val="10"/>
          <w:szCs w:val="10"/>
        </w:rPr>
      </w:pPr>
    </w:p>
    <w:p w14:paraId="2B08A7DE" w14:textId="3E9339A1" w:rsidR="00DC2100" w:rsidRDefault="00D95D2D" w:rsidP="001C5C33">
      <w:pPr>
        <w:pStyle w:val="DataField11pt-Single"/>
        <w:ind w:left="720"/>
      </w:pPr>
      <w:r>
        <w:t xml:space="preserve">The scientific and clinical data on patients enrolled by the LAPS on multi-site studies/trials will </w:t>
      </w:r>
      <w:r w:rsidRPr="00D95D2D">
        <w:rPr>
          <w:b/>
          <w:bCs/>
          <w:u w:val="single"/>
        </w:rPr>
        <w:t>not</w:t>
      </w:r>
      <w:r>
        <w:t xml:space="preserve"> be shared by the LAPS as the data in collected only for use and interpretation </w:t>
      </w:r>
      <w:r w:rsidR="0038792F">
        <w:t xml:space="preserve">as an integrated whole study </w:t>
      </w:r>
      <w:r>
        <w:t>by the NCTN Group leading the trial. Clinical</w:t>
      </w:r>
      <w:r>
        <w:rPr>
          <w:spacing w:val="-3"/>
        </w:rPr>
        <w:t xml:space="preserve"> </w:t>
      </w:r>
      <w:r>
        <w:t>data</w:t>
      </w:r>
      <w:r>
        <w:rPr>
          <w:spacing w:val="-4"/>
        </w:rPr>
        <w:t xml:space="preserve"> </w:t>
      </w:r>
      <w:r>
        <w:t>that</w:t>
      </w:r>
      <w:r>
        <w:rPr>
          <w:spacing w:val="-4"/>
        </w:rPr>
        <w:t xml:space="preserve"> </w:t>
      </w:r>
      <w:r>
        <w:t>will</w:t>
      </w:r>
      <w:r>
        <w:rPr>
          <w:spacing w:val="-3"/>
        </w:rPr>
        <w:t xml:space="preserve"> </w:t>
      </w:r>
      <w:r>
        <w:t>be</w:t>
      </w:r>
      <w:r>
        <w:rPr>
          <w:spacing w:val="-3"/>
        </w:rPr>
        <w:t xml:space="preserve"> </w:t>
      </w:r>
      <w:r>
        <w:t>preserved</w:t>
      </w:r>
      <w:r>
        <w:rPr>
          <w:spacing w:val="-4"/>
        </w:rPr>
        <w:t xml:space="preserve"> by the NCTN Group leading the multi-site trial/study </w:t>
      </w:r>
      <w:r>
        <w:t>and</w:t>
      </w:r>
      <w:r>
        <w:rPr>
          <w:spacing w:val="-2"/>
        </w:rPr>
        <w:t xml:space="preserve"> </w:t>
      </w:r>
      <w:r>
        <w:t>shared (protocol-specified</w:t>
      </w:r>
      <w:r>
        <w:rPr>
          <w:spacing w:val="-3"/>
        </w:rPr>
        <w:t xml:space="preserve"> </w:t>
      </w:r>
      <w:r>
        <w:t>collected</w:t>
      </w:r>
      <w:r>
        <w:rPr>
          <w:spacing w:val="-4"/>
        </w:rPr>
        <w:t xml:space="preserve"> </w:t>
      </w:r>
      <w:r>
        <w:t>data,</w:t>
      </w:r>
      <w:r>
        <w:rPr>
          <w:spacing w:val="-3"/>
        </w:rPr>
        <w:t xml:space="preserve"> </w:t>
      </w:r>
      <w:r>
        <w:t>including but not limited to the data elements described above) only by the NCTN at an appropriate time points per the NCTN Group’s Data Management and Sharing Policy. In</w:t>
      </w:r>
      <w:r>
        <w:rPr>
          <w:spacing w:val="-3"/>
        </w:rPr>
        <w:t xml:space="preserve"> </w:t>
      </w:r>
      <w:r>
        <w:t>addition,</w:t>
      </w:r>
      <w:r>
        <w:rPr>
          <w:spacing w:val="-3"/>
        </w:rPr>
        <w:t xml:space="preserve"> </w:t>
      </w:r>
      <w:r w:rsidR="00DC2100">
        <w:rPr>
          <w:spacing w:val="-3"/>
        </w:rPr>
        <w:t xml:space="preserve">the NCTN Group leading the multi-site trial/studies the LAPS participates in will make </w:t>
      </w:r>
      <w:r>
        <w:t>primary</w:t>
      </w:r>
      <w:r>
        <w:rPr>
          <w:spacing w:val="-3"/>
        </w:rPr>
        <w:t xml:space="preserve"> </w:t>
      </w:r>
      <w:r>
        <w:t>and</w:t>
      </w:r>
      <w:r>
        <w:rPr>
          <w:spacing w:val="-3"/>
        </w:rPr>
        <w:t xml:space="preserve"> </w:t>
      </w:r>
      <w:r>
        <w:t>secondary</w:t>
      </w:r>
      <w:r>
        <w:rPr>
          <w:spacing w:val="-3"/>
        </w:rPr>
        <w:t xml:space="preserve"> </w:t>
      </w:r>
      <w:r>
        <w:t>study</w:t>
      </w:r>
      <w:r>
        <w:rPr>
          <w:spacing w:val="-3"/>
        </w:rPr>
        <w:t xml:space="preserve"> </w:t>
      </w:r>
      <w:r>
        <w:t>data</w:t>
      </w:r>
      <w:r>
        <w:rPr>
          <w:spacing w:val="-3"/>
        </w:rPr>
        <w:t xml:space="preserve"> </w:t>
      </w:r>
      <w:r>
        <w:t>results</w:t>
      </w:r>
      <w:r>
        <w:rPr>
          <w:spacing w:val="-3"/>
        </w:rPr>
        <w:t xml:space="preserve"> </w:t>
      </w:r>
      <w:r>
        <w:t>made</w:t>
      </w:r>
      <w:r>
        <w:rPr>
          <w:spacing w:val="-3"/>
        </w:rPr>
        <w:t xml:space="preserve"> </w:t>
      </w:r>
      <w:r>
        <w:t>available</w:t>
      </w:r>
      <w:r>
        <w:rPr>
          <w:spacing w:val="-3"/>
        </w:rPr>
        <w:t xml:space="preserve"> </w:t>
      </w:r>
      <w:r>
        <w:t>in</w:t>
      </w:r>
      <w:r>
        <w:rPr>
          <w:spacing w:val="-3"/>
        </w:rPr>
        <w:t xml:space="preserve"> </w:t>
      </w:r>
      <w:r>
        <w:t>the</w:t>
      </w:r>
      <w:r>
        <w:rPr>
          <w:spacing w:val="-3"/>
        </w:rPr>
        <w:t xml:space="preserve"> </w:t>
      </w:r>
      <w:r>
        <w:t>National</w:t>
      </w:r>
      <w:r>
        <w:rPr>
          <w:spacing w:val="-3"/>
        </w:rPr>
        <w:t xml:space="preserve"> </w:t>
      </w:r>
      <w:r>
        <w:t>Library</w:t>
      </w:r>
      <w:r>
        <w:rPr>
          <w:spacing w:val="-3"/>
        </w:rPr>
        <w:t xml:space="preserve"> </w:t>
      </w:r>
      <w:r>
        <w:t xml:space="preserve">of Medicine (NLM) Protocol Registration and Results System (PRS), with results publicly available on </w:t>
      </w:r>
      <w:r>
        <w:rPr>
          <w:spacing w:val="-2"/>
        </w:rPr>
        <w:t xml:space="preserve">clinicatrials.gov </w:t>
      </w:r>
      <w:r w:rsidR="00DC2100">
        <w:rPr>
          <w:spacing w:val="-2"/>
        </w:rPr>
        <w:t xml:space="preserve">per the NCTN Group’s policy. The NCTN Group leading a trial/study </w:t>
      </w:r>
      <w:r>
        <w:t>generating</w:t>
      </w:r>
      <w:r>
        <w:rPr>
          <w:spacing w:val="-3"/>
        </w:rPr>
        <w:t xml:space="preserve"> </w:t>
      </w:r>
      <w:r>
        <w:t>human</w:t>
      </w:r>
      <w:r>
        <w:rPr>
          <w:spacing w:val="-4"/>
        </w:rPr>
        <w:t xml:space="preserve"> </w:t>
      </w:r>
      <w:r>
        <w:t>genomic</w:t>
      </w:r>
      <w:r>
        <w:rPr>
          <w:spacing w:val="-4"/>
        </w:rPr>
        <w:t xml:space="preserve"> </w:t>
      </w:r>
      <w:r>
        <w:t>data</w:t>
      </w:r>
      <w:r>
        <w:rPr>
          <w:spacing w:val="-4"/>
        </w:rPr>
        <w:t xml:space="preserve"> </w:t>
      </w:r>
      <w:r>
        <w:t>that</w:t>
      </w:r>
      <w:r>
        <w:rPr>
          <w:spacing w:val="-3"/>
        </w:rPr>
        <w:t xml:space="preserve"> </w:t>
      </w:r>
      <w:r>
        <w:t>fall</w:t>
      </w:r>
      <w:r>
        <w:rPr>
          <w:spacing w:val="-3"/>
        </w:rPr>
        <w:t xml:space="preserve"> </w:t>
      </w:r>
      <w:r>
        <w:t>within</w:t>
      </w:r>
      <w:r>
        <w:rPr>
          <w:spacing w:val="-4"/>
        </w:rPr>
        <w:t xml:space="preserve"> </w:t>
      </w:r>
      <w:r>
        <w:t>the</w:t>
      </w:r>
      <w:r>
        <w:rPr>
          <w:spacing w:val="-3"/>
        </w:rPr>
        <w:t xml:space="preserve"> </w:t>
      </w:r>
      <w:r>
        <w:t>scope</w:t>
      </w:r>
      <w:r>
        <w:rPr>
          <w:spacing w:val="-4"/>
        </w:rPr>
        <w:t xml:space="preserve"> </w:t>
      </w:r>
      <w:r>
        <w:t>of</w:t>
      </w:r>
      <w:r>
        <w:rPr>
          <w:spacing w:val="-4"/>
        </w:rPr>
        <w:t xml:space="preserve"> </w:t>
      </w:r>
      <w:r>
        <w:t>the National</w:t>
      </w:r>
      <w:r>
        <w:rPr>
          <w:spacing w:val="-3"/>
        </w:rPr>
        <w:t xml:space="preserve"> </w:t>
      </w:r>
      <w:r>
        <w:t>Institute</w:t>
      </w:r>
      <w:r>
        <w:rPr>
          <w:spacing w:val="-3"/>
        </w:rPr>
        <w:t xml:space="preserve"> </w:t>
      </w:r>
      <w:r>
        <w:t>of</w:t>
      </w:r>
      <w:r>
        <w:rPr>
          <w:spacing w:val="-4"/>
        </w:rPr>
        <w:t xml:space="preserve"> </w:t>
      </w:r>
      <w:r>
        <w:t xml:space="preserve">Health (NIH) Genomic Data Sharing (GDS) policy </w:t>
      </w:r>
      <w:r w:rsidR="00DC2100">
        <w:t>will be responsible under its NCTN Group policy for appropriate registration and deposit of data in accordance with NIH Policy.</w:t>
      </w:r>
    </w:p>
    <w:p w14:paraId="58A47BD5" w14:textId="77777777" w:rsidR="001C5C33" w:rsidRDefault="001C5C33" w:rsidP="001C5C33">
      <w:pPr>
        <w:pStyle w:val="DataField11pt-Single"/>
        <w:ind w:left="720"/>
      </w:pPr>
    </w:p>
    <w:p w14:paraId="16817610" w14:textId="6A5E93D3" w:rsidR="00B721F6" w:rsidRPr="00DC2100" w:rsidRDefault="00B721F6" w:rsidP="00EA64D3">
      <w:pPr>
        <w:pStyle w:val="DataField11pt-Single"/>
        <w:ind w:left="720"/>
        <w:rPr>
          <w:sz w:val="10"/>
          <w:szCs w:val="10"/>
        </w:rPr>
      </w:pPr>
    </w:p>
    <w:p w14:paraId="209C36BB" w14:textId="5C6CA1CC" w:rsidR="0067669C" w:rsidRPr="00B54990" w:rsidRDefault="00F01D28" w:rsidP="0067669C">
      <w:pPr>
        <w:pStyle w:val="DataField11pt-Single"/>
        <w:numPr>
          <w:ilvl w:val="0"/>
          <w:numId w:val="19"/>
        </w:numPr>
        <w:rPr>
          <w:b/>
          <w:bCs/>
        </w:rPr>
      </w:pPr>
      <w:r>
        <w:rPr>
          <w:b/>
          <w:bCs/>
        </w:rPr>
        <w:t>Metadata, other relevant data, and associated documentation</w:t>
      </w:r>
      <w:r w:rsidR="0067669C" w:rsidRPr="00B54990">
        <w:rPr>
          <w:b/>
          <w:bCs/>
        </w:rPr>
        <w:t>:</w:t>
      </w:r>
    </w:p>
    <w:p w14:paraId="23EC67D2" w14:textId="77777777" w:rsidR="0067669C" w:rsidRPr="001C5C33" w:rsidRDefault="0067669C" w:rsidP="0067669C">
      <w:pPr>
        <w:pStyle w:val="DataField11pt-Single"/>
        <w:ind w:left="720"/>
        <w:rPr>
          <w:sz w:val="10"/>
          <w:szCs w:val="10"/>
        </w:rPr>
      </w:pPr>
    </w:p>
    <w:p w14:paraId="74514177" w14:textId="0DD08A42" w:rsidR="00DC2100" w:rsidRDefault="00DC2100" w:rsidP="00F01D28">
      <w:pPr>
        <w:pStyle w:val="DataField11pt-Single"/>
        <w:ind w:left="720"/>
      </w:pPr>
      <w:r>
        <w:t>The</w:t>
      </w:r>
      <w:r w:rsidRPr="00F01D28">
        <w:rPr>
          <w:spacing w:val="-3"/>
        </w:rPr>
        <w:t xml:space="preserve"> </w:t>
      </w:r>
      <w:r>
        <w:t>protocol</w:t>
      </w:r>
      <w:r w:rsidRPr="00F01D28">
        <w:rPr>
          <w:spacing w:val="-3"/>
        </w:rPr>
        <w:t xml:space="preserve"> </w:t>
      </w:r>
      <w:r>
        <w:t>and</w:t>
      </w:r>
      <w:r w:rsidRPr="00F01D28">
        <w:rPr>
          <w:spacing w:val="-4"/>
        </w:rPr>
        <w:t xml:space="preserve"> </w:t>
      </w:r>
      <w:r>
        <w:t>sample</w:t>
      </w:r>
      <w:r w:rsidRPr="00F01D28">
        <w:rPr>
          <w:spacing w:val="-3"/>
        </w:rPr>
        <w:t xml:space="preserve"> </w:t>
      </w:r>
      <w:r>
        <w:t>informed</w:t>
      </w:r>
      <w:r w:rsidRPr="00F01D28">
        <w:rPr>
          <w:spacing w:val="-4"/>
        </w:rPr>
        <w:t xml:space="preserve"> </w:t>
      </w:r>
      <w:r>
        <w:t>consent</w:t>
      </w:r>
      <w:r w:rsidRPr="00F01D28">
        <w:rPr>
          <w:spacing w:val="-4"/>
        </w:rPr>
        <w:t xml:space="preserve"> </w:t>
      </w:r>
      <w:r>
        <w:t>will</w:t>
      </w:r>
      <w:r w:rsidRPr="00F01D28">
        <w:rPr>
          <w:spacing w:val="-3"/>
        </w:rPr>
        <w:t xml:space="preserve"> </w:t>
      </w:r>
      <w:r>
        <w:t>be</w:t>
      </w:r>
      <w:r w:rsidRPr="00F01D28">
        <w:rPr>
          <w:spacing w:val="-2"/>
        </w:rPr>
        <w:t xml:space="preserve"> </w:t>
      </w:r>
      <w:r>
        <w:t>made</w:t>
      </w:r>
      <w:r w:rsidRPr="00F01D28">
        <w:rPr>
          <w:spacing w:val="-3"/>
        </w:rPr>
        <w:t xml:space="preserve"> </w:t>
      </w:r>
      <w:r>
        <w:t>available</w:t>
      </w:r>
      <w:r w:rsidRPr="00F01D28">
        <w:rPr>
          <w:spacing w:val="-4"/>
        </w:rPr>
        <w:t xml:space="preserve"> </w:t>
      </w:r>
      <w:r>
        <w:t>in</w:t>
      </w:r>
      <w:r w:rsidRPr="00F01D28">
        <w:rPr>
          <w:spacing w:val="-3"/>
        </w:rPr>
        <w:t xml:space="preserve"> </w:t>
      </w:r>
      <w:r>
        <w:t>the</w:t>
      </w:r>
      <w:r w:rsidRPr="00F01D28">
        <w:rPr>
          <w:spacing w:val="-3"/>
        </w:rPr>
        <w:t xml:space="preserve"> </w:t>
      </w:r>
      <w:r>
        <w:t>NLM</w:t>
      </w:r>
      <w:r w:rsidRPr="00F01D28">
        <w:rPr>
          <w:spacing w:val="-2"/>
        </w:rPr>
        <w:t xml:space="preserve"> </w:t>
      </w:r>
      <w:r>
        <w:t>PRS</w:t>
      </w:r>
      <w:r w:rsidRPr="00F01D28">
        <w:rPr>
          <w:spacing w:val="-5"/>
        </w:rPr>
        <w:t xml:space="preserve"> </w:t>
      </w:r>
      <w:r>
        <w:t>when</w:t>
      </w:r>
      <w:r w:rsidRPr="00F01D28">
        <w:rPr>
          <w:spacing w:val="-3"/>
        </w:rPr>
        <w:t xml:space="preserve"> </w:t>
      </w:r>
      <w:r>
        <w:t>primary</w:t>
      </w:r>
      <w:r w:rsidRPr="00F01D28">
        <w:rPr>
          <w:spacing w:val="-4"/>
        </w:rPr>
        <w:t xml:space="preserve"> </w:t>
      </w:r>
      <w:r>
        <w:t>study results are reported per the Data Management and Sharing Policy of the NCTN Group</w:t>
      </w:r>
      <w:r w:rsidR="0038792F">
        <w:t>s</w:t>
      </w:r>
      <w:r>
        <w:t xml:space="preserve"> leading the multi-site trials/studies </w:t>
      </w:r>
      <w:r w:rsidR="001C5C33">
        <w:t>in which the</w:t>
      </w:r>
      <w:r>
        <w:t xml:space="preserve"> LAPS participates</w:t>
      </w:r>
      <w:r w:rsidR="001C5C33">
        <w:t>.</w:t>
      </w:r>
    </w:p>
    <w:p w14:paraId="4E1F882A" w14:textId="1AE00838" w:rsidR="002C51BC" w:rsidRDefault="002C51BC" w:rsidP="00DC2100">
      <w:pPr>
        <w:pStyle w:val="DataField11pt-Single"/>
        <w:rPr>
          <w:rStyle w:val="Strong"/>
          <w:b w:val="0"/>
          <w:bCs w:val="0"/>
          <w:i/>
          <w:iCs/>
        </w:rPr>
      </w:pPr>
    </w:p>
    <w:p w14:paraId="5749D639" w14:textId="77777777" w:rsidR="0067669C" w:rsidRDefault="0067669C" w:rsidP="00DC2100">
      <w:pPr>
        <w:pStyle w:val="DataField11pt-Single"/>
        <w:rPr>
          <w:rStyle w:val="Strong"/>
          <w:b w:val="0"/>
          <w:bCs w:val="0"/>
          <w:i/>
          <w:iCs/>
        </w:rPr>
      </w:pPr>
    </w:p>
    <w:p w14:paraId="5787A612" w14:textId="77777777" w:rsidR="0067669C" w:rsidRPr="00B1772E" w:rsidRDefault="0067669C" w:rsidP="00DC2100">
      <w:pPr>
        <w:pStyle w:val="DataField11pt-Single"/>
        <w:rPr>
          <w:rStyle w:val="Strong"/>
          <w:b w:val="0"/>
          <w:bCs w:val="0"/>
          <w:i/>
          <w:iCs/>
        </w:rPr>
      </w:pPr>
    </w:p>
    <w:p w14:paraId="4C67C746" w14:textId="590E6E88" w:rsidR="00B721F6" w:rsidRDefault="00B721F6" w:rsidP="002C51BC">
      <w:pPr>
        <w:pStyle w:val="DataField11pt-Single"/>
        <w:rPr>
          <w:rStyle w:val="Strong"/>
        </w:rPr>
      </w:pPr>
      <w:r w:rsidRPr="00B721F6">
        <w:rPr>
          <w:rStyle w:val="Strong"/>
        </w:rPr>
        <w:lastRenderedPageBreak/>
        <w:t>Element 2</w:t>
      </w:r>
      <w:r>
        <w:rPr>
          <w:rStyle w:val="Strong"/>
        </w:rPr>
        <w:t xml:space="preserve">: </w:t>
      </w:r>
      <w:r w:rsidRPr="00B721F6">
        <w:rPr>
          <w:rStyle w:val="Strong"/>
        </w:rPr>
        <w:t>Related Tools, Software and/or Code</w:t>
      </w:r>
      <w:r w:rsidR="003776CD">
        <w:rPr>
          <w:rStyle w:val="Strong"/>
        </w:rPr>
        <w:t>:</w:t>
      </w:r>
    </w:p>
    <w:p w14:paraId="0F5055F9" w14:textId="77BDEB3A" w:rsidR="009A2583" w:rsidRPr="0067669C" w:rsidRDefault="009A2583" w:rsidP="00EA64D3">
      <w:pPr>
        <w:pStyle w:val="DataField11pt-Single"/>
        <w:ind w:left="720"/>
        <w:rPr>
          <w:rStyle w:val="Strong"/>
          <w:b w:val="0"/>
          <w:bCs w:val="0"/>
          <w:sz w:val="10"/>
          <w:szCs w:val="10"/>
        </w:rPr>
      </w:pPr>
    </w:p>
    <w:p w14:paraId="38A470FC" w14:textId="4A31F2AB" w:rsidR="00F01D28" w:rsidRDefault="009A2583" w:rsidP="00F01D28">
      <w:pPr>
        <w:pStyle w:val="DataField11pt-Single"/>
        <w:ind w:left="720"/>
        <w:rPr>
          <w:rStyle w:val="Strong"/>
          <w:b w:val="0"/>
        </w:rPr>
      </w:pPr>
      <w:r w:rsidRPr="009A2583">
        <w:rPr>
          <w:rStyle w:val="Strong"/>
        </w:rPr>
        <w:t>Not Applicable -</w:t>
      </w:r>
      <w:r>
        <w:rPr>
          <w:rStyle w:val="Strong"/>
          <w:b w:val="0"/>
          <w:bCs w:val="0"/>
        </w:rPr>
        <w:t xml:space="preserve"> The scientific and clinical data generated for the trials/studies the LAPS participates in will be transferred to the NCTN Groups leading those trials. </w:t>
      </w:r>
      <w:r w:rsidR="00F01D28">
        <w:rPr>
          <w:rStyle w:val="Strong"/>
          <w:b w:val="0"/>
          <w:bCs w:val="0"/>
        </w:rPr>
        <w:t>LAPS do not share this data as the data are collected and overseen only as an integrated whole by the NCTN Group leading the individual multi-site trial/study. The NCTN Group leading the trial/study provides/uses related tools, software, and/or code under its Data Management &amp; Sharing Policy.</w:t>
      </w:r>
    </w:p>
    <w:p w14:paraId="3FC2031E" w14:textId="178F4393" w:rsidR="00B721F6" w:rsidRPr="009A2583" w:rsidRDefault="00B721F6" w:rsidP="009A2583">
      <w:pPr>
        <w:pStyle w:val="DataField11pt-Single"/>
        <w:spacing w:after="240"/>
        <w:ind w:left="720"/>
        <w:rPr>
          <w:rStyle w:val="Strong"/>
          <w:b w:val="0"/>
          <w:bCs w:val="0"/>
          <w:sz w:val="10"/>
          <w:szCs w:val="10"/>
        </w:rPr>
      </w:pP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632D67C" w14:textId="77777777" w:rsidR="009A2583" w:rsidRPr="0067669C" w:rsidRDefault="009A2583">
      <w:pPr>
        <w:pStyle w:val="DataField11pt-Single"/>
        <w:ind w:left="720"/>
        <w:rPr>
          <w:sz w:val="10"/>
          <w:szCs w:val="10"/>
        </w:rPr>
      </w:pPr>
    </w:p>
    <w:p w14:paraId="2C85B89B" w14:textId="63756776" w:rsidR="00F01D28" w:rsidRDefault="009A2583" w:rsidP="00F01D28">
      <w:pPr>
        <w:pStyle w:val="DataField11pt-Single"/>
        <w:ind w:left="720"/>
        <w:rPr>
          <w:rStyle w:val="Strong"/>
          <w:b w:val="0"/>
        </w:rPr>
      </w:pPr>
      <w:r w:rsidRPr="009A2583">
        <w:rPr>
          <w:rStyle w:val="Strong"/>
        </w:rPr>
        <w:t>Not Applicable -</w:t>
      </w:r>
      <w:r>
        <w:rPr>
          <w:rStyle w:val="Strong"/>
          <w:b w:val="0"/>
          <w:bCs w:val="0"/>
        </w:rPr>
        <w:t xml:space="preserve"> The scientific and clinical data generated for the trials/studies the LAPS participates in will be transferred to the NCTN Groups leading those trials. </w:t>
      </w:r>
      <w:r w:rsidR="00F01D28">
        <w:rPr>
          <w:rStyle w:val="Strong"/>
          <w:b w:val="0"/>
          <w:bCs w:val="0"/>
        </w:rPr>
        <w:t>LAPS do not share this data as the data are collected and overseen only as an integrated whole by the NCTN Group leading the individual multi-site trial/study. The NCTN Group leading the trial/study employs appropriate standards under its Data Management &amp; Sharing Policy.</w:t>
      </w:r>
    </w:p>
    <w:p w14:paraId="475B38E0" w14:textId="2107E3AF" w:rsidR="009A2583" w:rsidRPr="009A2583" w:rsidRDefault="009A2583" w:rsidP="009A2583">
      <w:pPr>
        <w:pStyle w:val="DataField11pt-Single"/>
        <w:spacing w:after="240"/>
        <w:ind w:left="720"/>
        <w:rPr>
          <w:rStyle w:val="Strong"/>
          <w:b w:val="0"/>
          <w:bCs w:val="0"/>
          <w:sz w:val="10"/>
          <w:szCs w:val="10"/>
        </w:rPr>
      </w:pP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1E235056" w14:textId="3842ED8D" w:rsidR="00F01D28" w:rsidRDefault="00CE5626" w:rsidP="00F01D28">
      <w:pPr>
        <w:pStyle w:val="DataField11pt-Single"/>
        <w:ind w:left="720"/>
        <w:rPr>
          <w:rStyle w:val="Strong"/>
          <w:b w:val="0"/>
        </w:rPr>
      </w:pPr>
      <w:r w:rsidRPr="00D65BA7">
        <w:rPr>
          <w:sz w:val="10"/>
          <w:szCs w:val="10"/>
        </w:rPr>
        <w:br/>
      </w:r>
      <w:r w:rsidR="009A2583" w:rsidRPr="009A2583">
        <w:rPr>
          <w:rStyle w:val="Strong"/>
        </w:rPr>
        <w:t>Not Applicable -</w:t>
      </w:r>
      <w:r w:rsidR="009A2583">
        <w:rPr>
          <w:rStyle w:val="Strong"/>
          <w:b w:val="0"/>
          <w:bCs w:val="0"/>
        </w:rPr>
        <w:t xml:space="preserve"> The scientific and clinical data generated for the trials/studies the LAPS participates in will be transferred to the NCTN Groups leading those trials. </w:t>
      </w:r>
      <w:r w:rsidR="00F01D28">
        <w:rPr>
          <w:rStyle w:val="Strong"/>
          <w:b w:val="0"/>
          <w:bCs w:val="0"/>
        </w:rPr>
        <w:t>LAPS do not share this data as the data are collected and overseen only as an integrated whole by the NCTN Group leading the individual multi-site trial/study. The NCTN Group leading the trial/study specifies repositories where data and materials will be archived, how data will be findable &amp; identifiable, and when &amp; how long data will be made available under its Data Management &amp; Sharing Policy.</w:t>
      </w:r>
    </w:p>
    <w:p w14:paraId="684149A1" w14:textId="56DA41F1" w:rsidR="00B721F6" w:rsidRDefault="00B721F6" w:rsidP="00EA64D3">
      <w:pPr>
        <w:pStyle w:val="DataField11pt-Single"/>
        <w:ind w:left="720"/>
        <w:rPr>
          <w:rStyle w:val="Strong"/>
          <w:b w:val="0"/>
          <w:bCs w:val="0"/>
        </w:rPr>
      </w:pPr>
    </w:p>
    <w:p w14:paraId="77150991" w14:textId="77777777" w:rsidR="00B3018F" w:rsidRPr="007378A0"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031802AF" w14:textId="77777777" w:rsidR="007378A0" w:rsidRDefault="009A2583" w:rsidP="007378A0">
      <w:pPr>
        <w:pStyle w:val="DataField11pt-Single"/>
        <w:ind w:left="720"/>
        <w:rPr>
          <w:rStyle w:val="Strong"/>
          <w:b w:val="0"/>
          <w:bCs w:val="0"/>
        </w:rPr>
      </w:pPr>
      <w:r w:rsidRPr="009A2583">
        <w:rPr>
          <w:rStyle w:val="Strong"/>
        </w:rPr>
        <w:t xml:space="preserve">Not Applicable </w:t>
      </w:r>
      <w:r w:rsidR="00D65BA7">
        <w:rPr>
          <w:rStyle w:val="Strong"/>
        </w:rPr>
        <w:t>–</w:t>
      </w:r>
      <w:r>
        <w:rPr>
          <w:rStyle w:val="Strong"/>
          <w:b w:val="0"/>
          <w:bCs w:val="0"/>
        </w:rPr>
        <w:t xml:space="preserve"> </w:t>
      </w:r>
      <w:r w:rsidR="007378A0">
        <w:rPr>
          <w:rStyle w:val="Strong"/>
          <w:b w:val="0"/>
          <w:bCs w:val="0"/>
        </w:rPr>
        <w:t>Please see explanation under Element 4 A. above.</w:t>
      </w:r>
    </w:p>
    <w:p w14:paraId="61370DEE" w14:textId="77777777" w:rsidR="00D65BA7" w:rsidRPr="00D65BA7" w:rsidRDefault="00D65BA7" w:rsidP="00EA64D3">
      <w:pPr>
        <w:pStyle w:val="DataField11pt-Single"/>
        <w:ind w:left="720"/>
        <w:rPr>
          <w:b/>
          <w:bCs/>
          <w:sz w:val="10"/>
          <w:szCs w:val="10"/>
        </w:rPr>
      </w:pPr>
    </w:p>
    <w:p w14:paraId="52512D2D" w14:textId="77777777" w:rsidR="00D65BA7" w:rsidRPr="007378A0" w:rsidRDefault="00D65BA7" w:rsidP="00EA64D3">
      <w:pPr>
        <w:pStyle w:val="DataField11pt-Single"/>
        <w:ind w:left="720"/>
        <w:rPr>
          <w:b/>
          <w:bCs/>
          <w:sz w:val="10"/>
          <w:szCs w:val="10"/>
        </w:rPr>
      </w:pPr>
    </w:p>
    <w:p w14:paraId="633CF9D8" w14:textId="1102F067" w:rsidR="00D65BA7" w:rsidRPr="007378A0" w:rsidRDefault="00B3018F" w:rsidP="00D65BA7">
      <w:pPr>
        <w:pStyle w:val="DataField11pt-Single"/>
        <w:numPr>
          <w:ilvl w:val="0"/>
          <w:numId w:val="22"/>
        </w:numPr>
        <w:rPr>
          <w:b/>
          <w:bCs/>
          <w:szCs w:val="22"/>
        </w:rPr>
      </w:pPr>
      <w:r w:rsidRPr="00D65BA7">
        <w:rPr>
          <w:b/>
          <w:bCs/>
          <w:szCs w:val="22"/>
        </w:rPr>
        <w:t xml:space="preserve">When and how long the scientific data will be made available: </w:t>
      </w:r>
      <w:r w:rsidR="00093DB4" w:rsidRPr="00D65BA7">
        <w:rPr>
          <w:i/>
          <w:iCs/>
          <w:szCs w:val="22"/>
        </w:rPr>
        <w:t xml:space="preserve"> </w:t>
      </w:r>
    </w:p>
    <w:p w14:paraId="3549C8F5" w14:textId="07E34D80" w:rsidR="00D65BA7" w:rsidRDefault="00D65BA7" w:rsidP="00D65BA7">
      <w:pPr>
        <w:pStyle w:val="DataField11pt-Single"/>
        <w:ind w:left="720"/>
        <w:rPr>
          <w:rStyle w:val="Strong"/>
          <w:b w:val="0"/>
          <w:bCs w:val="0"/>
        </w:rPr>
      </w:pPr>
      <w:r w:rsidRPr="009A2583">
        <w:rPr>
          <w:rStyle w:val="Strong"/>
        </w:rPr>
        <w:t xml:space="preserve">Not Applicable </w:t>
      </w:r>
      <w:r>
        <w:rPr>
          <w:rStyle w:val="Strong"/>
        </w:rPr>
        <w:t>–</w:t>
      </w:r>
      <w:r>
        <w:rPr>
          <w:rStyle w:val="Strong"/>
          <w:b w:val="0"/>
          <w:bCs w:val="0"/>
        </w:rPr>
        <w:t xml:space="preserve"> Please see explanation under </w:t>
      </w:r>
      <w:r w:rsidR="007378A0">
        <w:rPr>
          <w:rStyle w:val="Strong"/>
          <w:b w:val="0"/>
          <w:bCs w:val="0"/>
        </w:rPr>
        <w:t xml:space="preserve">Element 4 </w:t>
      </w:r>
      <w:r>
        <w:rPr>
          <w:rStyle w:val="Strong"/>
          <w:b w:val="0"/>
          <w:bCs w:val="0"/>
        </w:rPr>
        <w:t>A. above.</w:t>
      </w:r>
    </w:p>
    <w:p w14:paraId="643CA4EF" w14:textId="77777777" w:rsidR="00F01D28" w:rsidRPr="009A2583" w:rsidRDefault="00F01D28" w:rsidP="00F01D28">
      <w:pPr>
        <w:pStyle w:val="DataField11pt-Single"/>
        <w:spacing w:after="240"/>
        <w:ind w:left="720"/>
        <w:rPr>
          <w:rStyle w:val="Strong"/>
          <w:b w:val="0"/>
          <w:bCs w:val="0"/>
          <w:sz w:val="10"/>
          <w:szCs w:val="10"/>
        </w:rPr>
      </w:pPr>
    </w:p>
    <w:p w14:paraId="0D5577CF" w14:textId="138398FE" w:rsidR="00B721F6" w:rsidRPr="007378A0" w:rsidRDefault="00B721F6" w:rsidP="00B721F6">
      <w:pPr>
        <w:pStyle w:val="DataField11pt-Single"/>
        <w:rPr>
          <w:b/>
          <w:bCs/>
          <w:szCs w:val="22"/>
        </w:rPr>
      </w:pPr>
      <w:r w:rsidRPr="007378A0">
        <w:rPr>
          <w:b/>
          <w:bCs/>
          <w:szCs w:val="22"/>
        </w:rPr>
        <w:t>Element 5: Access, Distribution, or Reuse Considerations</w:t>
      </w:r>
    </w:p>
    <w:p w14:paraId="54BEF731" w14:textId="106A1C15" w:rsidR="00D65BA7" w:rsidRPr="007378A0" w:rsidRDefault="00154FB5" w:rsidP="007378A0">
      <w:pPr>
        <w:pStyle w:val="DataField11pt-Single"/>
        <w:numPr>
          <w:ilvl w:val="0"/>
          <w:numId w:val="28"/>
        </w:numPr>
        <w:shd w:val="clear" w:color="auto" w:fill="FFFFFF" w:themeFill="background1"/>
        <w:rPr>
          <w:i/>
          <w:iCs/>
          <w:sz w:val="10"/>
          <w:szCs w:val="10"/>
        </w:rPr>
      </w:pPr>
      <w:r w:rsidRPr="007378A0">
        <w:rPr>
          <w:b/>
          <w:bCs/>
          <w:szCs w:val="22"/>
        </w:rPr>
        <w:t>Factors affecting subsequent access, distribution, or reuse of scientific data:</w:t>
      </w:r>
      <w:bookmarkStart w:id="1" w:name="_Hlk105145007"/>
      <w:r w:rsidR="00C15D18" w:rsidRPr="007378A0">
        <w:rPr>
          <w:b/>
          <w:bCs/>
          <w:szCs w:val="22"/>
        </w:rPr>
        <w:br/>
      </w:r>
      <w:bookmarkEnd w:id="1"/>
    </w:p>
    <w:p w14:paraId="442D9713" w14:textId="3EBB0583" w:rsidR="00BA41AB" w:rsidRPr="007378A0" w:rsidRDefault="00D65BA7" w:rsidP="00D65BA7">
      <w:pPr>
        <w:pStyle w:val="DataField11pt-Single"/>
        <w:shd w:val="clear" w:color="auto" w:fill="FFFFFF" w:themeFill="background1"/>
        <w:ind w:left="720"/>
        <w:rPr>
          <w:i/>
          <w:iCs/>
          <w:szCs w:val="22"/>
        </w:rPr>
      </w:pPr>
      <w:r w:rsidRPr="007378A0">
        <w:rPr>
          <w:rStyle w:val="Strong"/>
          <w:szCs w:val="22"/>
        </w:rPr>
        <w:t>Not Applicable</w:t>
      </w:r>
      <w:r w:rsidRPr="009A2583">
        <w:rPr>
          <w:rStyle w:val="Strong"/>
        </w:rPr>
        <w:t xml:space="preserve"> -</w:t>
      </w:r>
      <w:r>
        <w:rPr>
          <w:rStyle w:val="Strong"/>
          <w:b w:val="0"/>
          <w:bCs w:val="0"/>
        </w:rPr>
        <w:t xml:space="preserve"> </w:t>
      </w:r>
      <w:r w:rsidR="00F01D28">
        <w:rPr>
          <w:rStyle w:val="Strong"/>
          <w:b w:val="0"/>
          <w:bCs w:val="0"/>
        </w:rPr>
        <w:t>The scientific and clinical data generated for the trials/studies the LAPS participates in will be transferred to the NCTN Groups leading those trials. LAPS do not share this data as the data are collected and overseen only as an integrated whole by the NCTN Group leading the individual multi-site trial/study. The NCTN Group leading the trial/study provides access, distribution, and/or reuse of data with appropriate</w:t>
      </w:r>
      <w:r w:rsidR="007378A0">
        <w:rPr>
          <w:rStyle w:val="Strong"/>
          <w:b w:val="0"/>
          <w:bCs w:val="0"/>
        </w:rPr>
        <w:t xml:space="preserve"> control and</w:t>
      </w:r>
      <w:r w:rsidR="00F01D28">
        <w:rPr>
          <w:rStyle w:val="Strong"/>
          <w:b w:val="0"/>
          <w:bCs w:val="0"/>
        </w:rPr>
        <w:t xml:space="preserve"> protection for privacy, rights and confidentiality of human research participants under its Data Management &amp; Sharing Policy.</w:t>
      </w:r>
      <w:r w:rsidR="00F7764F">
        <w:br/>
      </w:r>
    </w:p>
    <w:p w14:paraId="218EDCC9" w14:textId="79290954" w:rsidR="00B721F6" w:rsidRPr="007378A0" w:rsidRDefault="009E32BE" w:rsidP="00EF5752">
      <w:pPr>
        <w:pStyle w:val="ListParagraph"/>
        <w:numPr>
          <w:ilvl w:val="0"/>
          <w:numId w:val="28"/>
        </w:numPr>
        <w:rPr>
          <w:rStyle w:val="Strong"/>
          <w:rFonts w:cs="Arial"/>
          <w:b w:val="0"/>
          <w:bCs w:val="0"/>
          <w:i/>
          <w:iCs/>
          <w:szCs w:val="20"/>
        </w:rPr>
      </w:pPr>
      <w:r w:rsidRPr="007378A0">
        <w:rPr>
          <w:rStyle w:val="Strong"/>
          <w:rFonts w:cs="Arial"/>
          <w:szCs w:val="22"/>
        </w:rPr>
        <w:t>Whether access to scientific data will be controlled:</w:t>
      </w:r>
      <w:bookmarkStart w:id="2" w:name="_Hlk105145186"/>
      <w:r w:rsidR="00C15D18" w:rsidRPr="007378A0">
        <w:rPr>
          <w:rStyle w:val="Strong"/>
          <w:rFonts w:cs="Arial"/>
          <w:szCs w:val="20"/>
        </w:rPr>
        <w:br/>
      </w:r>
      <w:bookmarkEnd w:id="2"/>
      <w:r w:rsidR="00F01D28" w:rsidRPr="009A2583">
        <w:rPr>
          <w:rStyle w:val="Strong"/>
        </w:rPr>
        <w:t xml:space="preserve">Not Applicable </w:t>
      </w:r>
      <w:r w:rsidR="00F01D28">
        <w:rPr>
          <w:rStyle w:val="Strong"/>
        </w:rPr>
        <w:t>–</w:t>
      </w:r>
      <w:r w:rsidR="00F01D28" w:rsidRPr="007378A0">
        <w:rPr>
          <w:rStyle w:val="Strong"/>
          <w:b w:val="0"/>
          <w:bCs w:val="0"/>
        </w:rPr>
        <w:t xml:space="preserve"> Please see explanation under </w:t>
      </w:r>
      <w:r w:rsidR="007378A0">
        <w:rPr>
          <w:rStyle w:val="Strong"/>
          <w:b w:val="0"/>
          <w:bCs w:val="0"/>
        </w:rPr>
        <w:t xml:space="preserve">Element 5 </w:t>
      </w:r>
      <w:r w:rsidR="00F01D28" w:rsidRPr="007378A0">
        <w:rPr>
          <w:rStyle w:val="Strong"/>
          <w:b w:val="0"/>
          <w:bCs w:val="0"/>
        </w:rPr>
        <w:t>A. above.</w:t>
      </w:r>
      <w:r w:rsidR="00081CAD" w:rsidRPr="007378A0">
        <w:rPr>
          <w:rStyle w:val="Strong"/>
          <w:rFonts w:cs="Arial"/>
          <w:b w:val="0"/>
          <w:bCs w:val="0"/>
          <w:i/>
          <w:iCs/>
          <w:szCs w:val="20"/>
        </w:rPr>
        <w:br/>
      </w:r>
    </w:p>
    <w:p w14:paraId="31419EF5" w14:textId="59CB8CF4" w:rsidR="004352C0" w:rsidRDefault="004352C0" w:rsidP="007378A0">
      <w:pPr>
        <w:pStyle w:val="DataField11pt-Single"/>
        <w:numPr>
          <w:ilvl w:val="0"/>
          <w:numId w:val="28"/>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001F28E9" w14:textId="1BD30600" w:rsidR="00F01D28" w:rsidRDefault="00F01D28" w:rsidP="00F01D28">
      <w:pPr>
        <w:pStyle w:val="DataField11pt-Single"/>
        <w:ind w:left="720"/>
        <w:rPr>
          <w:rStyle w:val="Strong"/>
          <w:b w:val="0"/>
          <w:bCs w:val="0"/>
        </w:rPr>
      </w:pPr>
      <w:r w:rsidRPr="009A2583">
        <w:rPr>
          <w:rStyle w:val="Strong"/>
        </w:rPr>
        <w:t xml:space="preserve">Not Applicable </w:t>
      </w:r>
      <w:r>
        <w:rPr>
          <w:rStyle w:val="Strong"/>
        </w:rPr>
        <w:t>–</w:t>
      </w:r>
      <w:r>
        <w:rPr>
          <w:rStyle w:val="Strong"/>
          <w:b w:val="0"/>
          <w:bCs w:val="0"/>
        </w:rPr>
        <w:t xml:space="preserve"> Please see explanation under </w:t>
      </w:r>
      <w:r w:rsidR="007378A0">
        <w:rPr>
          <w:rStyle w:val="Strong"/>
          <w:b w:val="0"/>
          <w:bCs w:val="0"/>
        </w:rPr>
        <w:t xml:space="preserve">Element 5 </w:t>
      </w:r>
      <w:r>
        <w:rPr>
          <w:rStyle w:val="Strong"/>
          <w:b w:val="0"/>
          <w:bCs w:val="0"/>
        </w:rPr>
        <w:t>A. above.</w:t>
      </w:r>
    </w:p>
    <w:p w14:paraId="5D6631A4" w14:textId="348B425C" w:rsidR="00804911" w:rsidRDefault="00804911" w:rsidP="00B721F6">
      <w:pPr>
        <w:pStyle w:val="DataField11pt-Single"/>
      </w:pPr>
    </w:p>
    <w:p w14:paraId="5D7D9ED5" w14:textId="7292BA27" w:rsidR="00804911" w:rsidRDefault="007378A0" w:rsidP="007378A0">
      <w:pPr>
        <w:pStyle w:val="DataField11pt-Single"/>
        <w:tabs>
          <w:tab w:val="left" w:pos="2680"/>
        </w:tabs>
      </w:pPr>
      <w:r>
        <w:tab/>
      </w: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8D04660" w14:textId="458170A3" w:rsidR="00652963" w:rsidRPr="00A30B5C" w:rsidRDefault="00081CAD" w:rsidP="007378A0">
      <w:pPr>
        <w:pStyle w:val="DataField11pt-Single"/>
        <w:ind w:left="720"/>
        <w:rPr>
          <w:sz w:val="18"/>
        </w:rPr>
      </w:pPr>
      <w:r w:rsidRPr="007378A0">
        <w:rPr>
          <w:i/>
          <w:iCs/>
          <w:sz w:val="10"/>
          <w:szCs w:val="10"/>
        </w:rPr>
        <w:br/>
      </w:r>
      <w:r w:rsidR="00F01D28" w:rsidRPr="009A2583">
        <w:rPr>
          <w:rStyle w:val="Strong"/>
        </w:rPr>
        <w:t>Not Applicable -</w:t>
      </w:r>
      <w:r w:rsidR="00F01D28">
        <w:rPr>
          <w:rStyle w:val="Strong"/>
          <w:b w:val="0"/>
          <w:bCs w:val="0"/>
        </w:rPr>
        <w:t xml:space="preserve"> The scientific and clinical data generated for the trials/studies the LAPS participates in will be transferred to the NCTN Groups leading those trials. LAPS do not share this data as the data are collected and overseen only as an integrated whole by the NCTN Group leading the individual multi-site trial/study. The NCTN Group leading the trial/study provides oversight under its Data Management &amp; Sharing Policy.</w:t>
      </w:r>
    </w:p>
    <w:sectPr w:rsidR="00652963" w:rsidRPr="00A30B5C" w:rsidSect="001C5C33">
      <w:headerReference w:type="default" r:id="rId12"/>
      <w:type w:val="continuous"/>
      <w:pgSz w:w="12240" w:h="15840" w:code="1"/>
      <w:pgMar w:top="720" w:right="81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9E700" w14:textId="77777777" w:rsidR="00574B74" w:rsidRDefault="00574B74">
      <w:r>
        <w:separator/>
      </w:r>
    </w:p>
  </w:endnote>
  <w:endnote w:type="continuationSeparator" w:id="0">
    <w:p w14:paraId="5DE1F84A" w14:textId="77777777" w:rsidR="00574B74" w:rsidRDefault="0057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1F6291" w14:textId="77777777" w:rsidR="00574B74" w:rsidRDefault="00574B74">
      <w:r>
        <w:separator/>
      </w:r>
    </w:p>
  </w:footnote>
  <w:footnote w:type="continuationSeparator" w:id="0">
    <w:p w14:paraId="35EB7808" w14:textId="77777777" w:rsidR="00574B74" w:rsidRDefault="0057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C829D7"/>
    <w:multiLevelType w:val="hybridMultilevel"/>
    <w:tmpl w:val="8C94A560"/>
    <w:lvl w:ilvl="0" w:tplc="F78A1F0A">
      <w:start w:val="1"/>
      <w:numFmt w:val="upperLetter"/>
      <w:lvlText w:val="%1."/>
      <w:lvlJc w:val="left"/>
      <w:pPr>
        <w:ind w:left="460" w:hanging="360"/>
        <w:jc w:val="left"/>
      </w:pPr>
      <w:rPr>
        <w:rFonts w:ascii="Calibri" w:eastAsia="Calibri" w:hAnsi="Calibri" w:cs="Calibri" w:hint="default"/>
        <w:b/>
        <w:bCs/>
        <w:i w:val="0"/>
        <w:iCs w:val="0"/>
        <w:spacing w:val="0"/>
        <w:w w:val="99"/>
        <w:sz w:val="22"/>
        <w:szCs w:val="22"/>
        <w:lang w:val="en-US" w:eastAsia="en-US" w:bidi="ar-SA"/>
      </w:rPr>
    </w:lvl>
    <w:lvl w:ilvl="1" w:tplc="3C34FFDE">
      <w:numFmt w:val="bullet"/>
      <w:lvlText w:val="•"/>
      <w:lvlJc w:val="left"/>
      <w:pPr>
        <w:ind w:left="1372" w:hanging="360"/>
      </w:pPr>
      <w:rPr>
        <w:rFonts w:hint="default"/>
        <w:lang w:val="en-US" w:eastAsia="en-US" w:bidi="ar-SA"/>
      </w:rPr>
    </w:lvl>
    <w:lvl w:ilvl="2" w:tplc="A5BE12FA">
      <w:numFmt w:val="bullet"/>
      <w:lvlText w:val="•"/>
      <w:lvlJc w:val="left"/>
      <w:pPr>
        <w:ind w:left="2284" w:hanging="360"/>
      </w:pPr>
      <w:rPr>
        <w:rFonts w:hint="default"/>
        <w:lang w:val="en-US" w:eastAsia="en-US" w:bidi="ar-SA"/>
      </w:rPr>
    </w:lvl>
    <w:lvl w:ilvl="3" w:tplc="5400D510">
      <w:numFmt w:val="bullet"/>
      <w:lvlText w:val="•"/>
      <w:lvlJc w:val="left"/>
      <w:pPr>
        <w:ind w:left="3196" w:hanging="360"/>
      </w:pPr>
      <w:rPr>
        <w:rFonts w:hint="default"/>
        <w:lang w:val="en-US" w:eastAsia="en-US" w:bidi="ar-SA"/>
      </w:rPr>
    </w:lvl>
    <w:lvl w:ilvl="4" w:tplc="8160D3D0">
      <w:numFmt w:val="bullet"/>
      <w:lvlText w:val="•"/>
      <w:lvlJc w:val="left"/>
      <w:pPr>
        <w:ind w:left="4108" w:hanging="360"/>
      </w:pPr>
      <w:rPr>
        <w:rFonts w:hint="default"/>
        <w:lang w:val="en-US" w:eastAsia="en-US" w:bidi="ar-SA"/>
      </w:rPr>
    </w:lvl>
    <w:lvl w:ilvl="5" w:tplc="4BE4E690">
      <w:numFmt w:val="bullet"/>
      <w:lvlText w:val="•"/>
      <w:lvlJc w:val="left"/>
      <w:pPr>
        <w:ind w:left="5020" w:hanging="360"/>
      </w:pPr>
      <w:rPr>
        <w:rFonts w:hint="default"/>
        <w:lang w:val="en-US" w:eastAsia="en-US" w:bidi="ar-SA"/>
      </w:rPr>
    </w:lvl>
    <w:lvl w:ilvl="6" w:tplc="B52CF300">
      <w:numFmt w:val="bullet"/>
      <w:lvlText w:val="•"/>
      <w:lvlJc w:val="left"/>
      <w:pPr>
        <w:ind w:left="5932" w:hanging="360"/>
      </w:pPr>
      <w:rPr>
        <w:rFonts w:hint="default"/>
        <w:lang w:val="en-US" w:eastAsia="en-US" w:bidi="ar-SA"/>
      </w:rPr>
    </w:lvl>
    <w:lvl w:ilvl="7" w:tplc="033A3EBA">
      <w:numFmt w:val="bullet"/>
      <w:lvlText w:val="•"/>
      <w:lvlJc w:val="left"/>
      <w:pPr>
        <w:ind w:left="6844" w:hanging="360"/>
      </w:pPr>
      <w:rPr>
        <w:rFonts w:hint="default"/>
        <w:lang w:val="en-US" w:eastAsia="en-US" w:bidi="ar-SA"/>
      </w:rPr>
    </w:lvl>
    <w:lvl w:ilvl="8" w:tplc="E09A299E">
      <w:numFmt w:val="bullet"/>
      <w:lvlText w:val="•"/>
      <w:lvlJc w:val="left"/>
      <w:pPr>
        <w:ind w:left="7756" w:hanging="360"/>
      </w:pPr>
      <w:rPr>
        <w:rFonts w:hint="default"/>
        <w:lang w:val="en-US" w:eastAsia="en-US" w:bidi="ar-SA"/>
      </w:rPr>
    </w:lvl>
  </w:abstractNum>
  <w:abstractNum w:abstractNumId="18"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5AEA1B33"/>
    <w:multiLevelType w:val="hybridMultilevel"/>
    <w:tmpl w:val="084ED9F6"/>
    <w:lvl w:ilvl="0" w:tplc="2182F04A">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3876C4"/>
    <w:multiLevelType w:val="hybridMultilevel"/>
    <w:tmpl w:val="B02C02D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6"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508019">
    <w:abstractNumId w:val="9"/>
  </w:num>
  <w:num w:numId="2" w16cid:durableId="1403676224">
    <w:abstractNumId w:val="7"/>
  </w:num>
  <w:num w:numId="3" w16cid:durableId="1178614330">
    <w:abstractNumId w:val="6"/>
  </w:num>
  <w:num w:numId="4" w16cid:durableId="816845164">
    <w:abstractNumId w:val="5"/>
  </w:num>
  <w:num w:numId="5" w16cid:durableId="1895726960">
    <w:abstractNumId w:val="4"/>
  </w:num>
  <w:num w:numId="6" w16cid:durableId="938028838">
    <w:abstractNumId w:val="8"/>
  </w:num>
  <w:num w:numId="7" w16cid:durableId="567232811">
    <w:abstractNumId w:val="3"/>
  </w:num>
  <w:num w:numId="8" w16cid:durableId="475949795">
    <w:abstractNumId w:val="2"/>
  </w:num>
  <w:num w:numId="9" w16cid:durableId="1007756246">
    <w:abstractNumId w:val="1"/>
  </w:num>
  <w:num w:numId="10" w16cid:durableId="1126974495">
    <w:abstractNumId w:val="0"/>
  </w:num>
  <w:num w:numId="11" w16cid:durableId="852108470">
    <w:abstractNumId w:val="0"/>
  </w:num>
  <w:num w:numId="12" w16cid:durableId="1612935747">
    <w:abstractNumId w:val="18"/>
  </w:num>
  <w:num w:numId="13" w16cid:durableId="349182070">
    <w:abstractNumId w:val="14"/>
  </w:num>
  <w:num w:numId="14" w16cid:durableId="2144077373">
    <w:abstractNumId w:val="25"/>
  </w:num>
  <w:num w:numId="15" w16cid:durableId="1058744211">
    <w:abstractNumId w:val="22"/>
  </w:num>
  <w:num w:numId="16" w16cid:durableId="1255094984">
    <w:abstractNumId w:val="24"/>
  </w:num>
  <w:num w:numId="17" w16cid:durableId="1657175888">
    <w:abstractNumId w:val="11"/>
  </w:num>
  <w:num w:numId="18" w16cid:durableId="353967612">
    <w:abstractNumId w:val="16"/>
  </w:num>
  <w:num w:numId="19" w16cid:durableId="1047142069">
    <w:abstractNumId w:val="13"/>
  </w:num>
  <w:num w:numId="20" w16cid:durableId="1136875762">
    <w:abstractNumId w:val="12"/>
  </w:num>
  <w:num w:numId="21" w16cid:durableId="43800260">
    <w:abstractNumId w:val="26"/>
  </w:num>
  <w:num w:numId="22" w16cid:durableId="1228492415">
    <w:abstractNumId w:val="21"/>
  </w:num>
  <w:num w:numId="23" w16cid:durableId="699628209">
    <w:abstractNumId w:val="20"/>
  </w:num>
  <w:num w:numId="24" w16cid:durableId="1035614984">
    <w:abstractNumId w:val="15"/>
  </w:num>
  <w:num w:numId="25" w16cid:durableId="42946611">
    <w:abstractNumId w:val="10"/>
  </w:num>
  <w:num w:numId="26" w16cid:durableId="1292902381">
    <w:abstractNumId w:val="23"/>
  </w:num>
  <w:num w:numId="27" w16cid:durableId="1083720519">
    <w:abstractNumId w:val="17"/>
  </w:num>
  <w:num w:numId="28" w16cid:durableId="4981564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1220"/>
    <w:rsid w:val="001C433C"/>
    <w:rsid w:val="001C5C33"/>
    <w:rsid w:val="001D5EAE"/>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92F"/>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74B74"/>
    <w:rsid w:val="00581416"/>
    <w:rsid w:val="005925EE"/>
    <w:rsid w:val="00592740"/>
    <w:rsid w:val="00592826"/>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7669C"/>
    <w:rsid w:val="006831EF"/>
    <w:rsid w:val="0068699D"/>
    <w:rsid w:val="00686E4A"/>
    <w:rsid w:val="0069106B"/>
    <w:rsid w:val="006A353C"/>
    <w:rsid w:val="006A56FC"/>
    <w:rsid w:val="006A696D"/>
    <w:rsid w:val="006B2D1C"/>
    <w:rsid w:val="006B7247"/>
    <w:rsid w:val="006C1E1F"/>
    <w:rsid w:val="006C49F7"/>
    <w:rsid w:val="006D411B"/>
    <w:rsid w:val="006E1221"/>
    <w:rsid w:val="006E6FB5"/>
    <w:rsid w:val="006F6178"/>
    <w:rsid w:val="007050F5"/>
    <w:rsid w:val="00706ED1"/>
    <w:rsid w:val="0071140F"/>
    <w:rsid w:val="0071594A"/>
    <w:rsid w:val="00721039"/>
    <w:rsid w:val="00722C8F"/>
    <w:rsid w:val="0072360D"/>
    <w:rsid w:val="00735C85"/>
    <w:rsid w:val="007378A0"/>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01B3"/>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93C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6FAB"/>
    <w:rsid w:val="00917B31"/>
    <w:rsid w:val="00917E1A"/>
    <w:rsid w:val="009211D3"/>
    <w:rsid w:val="009217C8"/>
    <w:rsid w:val="00933173"/>
    <w:rsid w:val="00934124"/>
    <w:rsid w:val="00936038"/>
    <w:rsid w:val="009429C1"/>
    <w:rsid w:val="00944AAE"/>
    <w:rsid w:val="009506A0"/>
    <w:rsid w:val="00952A27"/>
    <w:rsid w:val="00953238"/>
    <w:rsid w:val="00972DE2"/>
    <w:rsid w:val="00977FA5"/>
    <w:rsid w:val="00980A5E"/>
    <w:rsid w:val="009A2583"/>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8623D"/>
    <w:rsid w:val="00A94BEF"/>
    <w:rsid w:val="00AB4995"/>
    <w:rsid w:val="00AE3609"/>
    <w:rsid w:val="00AE41C4"/>
    <w:rsid w:val="00AF690F"/>
    <w:rsid w:val="00B00F1A"/>
    <w:rsid w:val="00B071E8"/>
    <w:rsid w:val="00B17022"/>
    <w:rsid w:val="00B1772E"/>
    <w:rsid w:val="00B3018F"/>
    <w:rsid w:val="00B35782"/>
    <w:rsid w:val="00B36C2D"/>
    <w:rsid w:val="00B51573"/>
    <w:rsid w:val="00B53D1D"/>
    <w:rsid w:val="00B54990"/>
    <w:rsid w:val="00B55C8D"/>
    <w:rsid w:val="00B64D8C"/>
    <w:rsid w:val="00B71EDD"/>
    <w:rsid w:val="00B721F6"/>
    <w:rsid w:val="00B8003A"/>
    <w:rsid w:val="00B9727D"/>
    <w:rsid w:val="00BA162F"/>
    <w:rsid w:val="00BA2780"/>
    <w:rsid w:val="00BA41AB"/>
    <w:rsid w:val="00BA5B33"/>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B1CD1"/>
    <w:rsid w:val="00CC0153"/>
    <w:rsid w:val="00CC5F5B"/>
    <w:rsid w:val="00CC72E4"/>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5BA7"/>
    <w:rsid w:val="00D66440"/>
    <w:rsid w:val="00D679E5"/>
    <w:rsid w:val="00D74391"/>
    <w:rsid w:val="00D83360"/>
    <w:rsid w:val="00D91EF4"/>
    <w:rsid w:val="00D937C7"/>
    <w:rsid w:val="00D95D2D"/>
    <w:rsid w:val="00DB7B85"/>
    <w:rsid w:val="00DC1B93"/>
    <w:rsid w:val="00DC1EB9"/>
    <w:rsid w:val="00DC2100"/>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1D28"/>
    <w:rsid w:val="00F02126"/>
    <w:rsid w:val="00F07AB3"/>
    <w:rsid w:val="00F175E6"/>
    <w:rsid w:val="00F246E7"/>
    <w:rsid w:val="00F262AB"/>
    <w:rsid w:val="00F31DC7"/>
    <w:rsid w:val="00F44B09"/>
    <w:rsid w:val="00F51724"/>
    <w:rsid w:val="00F60BEE"/>
    <w:rsid w:val="00F60C10"/>
    <w:rsid w:val="00F65851"/>
    <w:rsid w:val="00F7284D"/>
    <w:rsid w:val="00F7764F"/>
    <w:rsid w:val="00F864E4"/>
    <w:rsid w:val="00F904DE"/>
    <w:rsid w:val="00F94A2B"/>
    <w:rsid w:val="00FA00C6"/>
    <w:rsid w:val="00FA0103"/>
    <w:rsid w:val="00FA4E5A"/>
    <w:rsid w:val="00FA729C"/>
    <w:rsid w:val="00FB05E7"/>
    <w:rsid w:val="00FC3575"/>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customXml/itemProps3.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OMB No. 0925-0001/0002: Data Management and Sharing (DMS) Plan format page</vt:lpstr>
    </vt:vector>
  </TitlesOfParts>
  <Company>DHHS/PHS/NIH</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Mishkin, Grace (NIH/NCI) [E]</cp:lastModifiedBy>
  <cp:revision>2</cp:revision>
  <cp:lastPrinted>2011-03-11T19:43:00Z</cp:lastPrinted>
  <dcterms:created xsi:type="dcterms:W3CDTF">2024-11-18T04:40:00Z</dcterms:created>
  <dcterms:modified xsi:type="dcterms:W3CDTF">2024-11-18T04:40:00Z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